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04C" w:rsidRPr="00C85D48" w:rsidRDefault="00E3204C" w:rsidP="00E3204C">
      <w:pPr>
        <w:adjustRightInd w:val="0"/>
        <w:snapToGrid w:val="0"/>
        <w:spacing w:line="600" w:lineRule="exact"/>
        <w:rPr>
          <w:rFonts w:ascii="黑体" w:eastAsia="黑体" w:hAnsi="Times New Roman" w:hint="eastAsia"/>
          <w:sz w:val="32"/>
          <w:szCs w:val="32"/>
        </w:rPr>
      </w:pPr>
      <w:r w:rsidRPr="00C85D48">
        <w:rPr>
          <w:rFonts w:ascii="黑体" w:eastAsia="黑体" w:hAnsi="Times New Roman" w:hint="eastAsia"/>
          <w:sz w:val="32"/>
          <w:szCs w:val="32"/>
        </w:rPr>
        <w:t>附件2</w:t>
      </w:r>
    </w:p>
    <w:p w:rsidR="00E3204C" w:rsidRPr="00C85D48" w:rsidRDefault="00E3204C" w:rsidP="00E3204C">
      <w:pPr>
        <w:adjustRightInd w:val="0"/>
        <w:snapToGrid w:val="0"/>
        <w:spacing w:line="600" w:lineRule="exact"/>
        <w:rPr>
          <w:rFonts w:ascii="Times New Roman" w:eastAsia="仿宋_GB2312" w:hAnsi="Times New Roman" w:hint="eastAsia"/>
          <w:sz w:val="32"/>
          <w:szCs w:val="32"/>
        </w:rPr>
      </w:pPr>
    </w:p>
    <w:p w:rsidR="00E3204C" w:rsidRPr="00C85D48" w:rsidRDefault="00E3204C" w:rsidP="00E3204C">
      <w:pPr>
        <w:adjustRightInd w:val="0"/>
        <w:snapToGrid w:val="0"/>
        <w:spacing w:line="600" w:lineRule="exact"/>
        <w:jc w:val="center"/>
        <w:rPr>
          <w:rFonts w:ascii="Times New Roman" w:eastAsia="方正小标宋简体" w:hAnsi="Times New Roman" w:cs="黑体" w:hint="eastAsia"/>
          <w:bCs/>
          <w:sz w:val="44"/>
          <w:szCs w:val="44"/>
        </w:rPr>
      </w:pPr>
      <w:r w:rsidRPr="00C85D48">
        <w:rPr>
          <w:rFonts w:ascii="Times New Roman" w:eastAsia="方正小标宋简体" w:hAnsi="Times New Roman" w:cs="黑体" w:hint="eastAsia"/>
          <w:bCs/>
          <w:sz w:val="44"/>
          <w:szCs w:val="44"/>
        </w:rPr>
        <w:t>湖南省卓越中等职业学校建设基本要求</w:t>
      </w:r>
    </w:p>
    <w:p w:rsidR="00E3204C" w:rsidRPr="00C85D48" w:rsidRDefault="00E3204C" w:rsidP="00E3204C">
      <w:pPr>
        <w:adjustRightInd w:val="0"/>
        <w:snapToGrid w:val="0"/>
        <w:spacing w:line="600" w:lineRule="exact"/>
        <w:jc w:val="center"/>
        <w:rPr>
          <w:rFonts w:ascii="Times New Roman" w:eastAsia="楷体_GB2312" w:hAnsi="Times New Roman" w:cs="黑体" w:hint="eastAsia"/>
          <w:bCs/>
          <w:sz w:val="32"/>
          <w:szCs w:val="32"/>
        </w:rPr>
      </w:pPr>
      <w:r w:rsidRPr="00C85D48">
        <w:rPr>
          <w:rFonts w:ascii="Times New Roman" w:eastAsia="楷体_GB2312" w:hAnsi="Times New Roman" w:hint="eastAsia"/>
          <w:sz w:val="32"/>
          <w:szCs w:val="32"/>
        </w:rPr>
        <w:t>（试</w:t>
      </w:r>
      <w:r>
        <w:rPr>
          <w:rFonts w:ascii="Times New Roman" w:eastAsia="楷体_GB2312" w:hAnsi="Times New Roman" w:hint="eastAsia"/>
          <w:sz w:val="32"/>
          <w:szCs w:val="32"/>
        </w:rPr>
        <w:t xml:space="preserve">   </w:t>
      </w:r>
      <w:r w:rsidRPr="00C85D48">
        <w:rPr>
          <w:rFonts w:ascii="Times New Roman" w:eastAsia="楷体_GB2312" w:hAnsi="Times New Roman" w:hint="eastAsia"/>
          <w:sz w:val="32"/>
          <w:szCs w:val="32"/>
        </w:rPr>
        <w:t>行）</w:t>
      </w:r>
    </w:p>
    <w:p w:rsidR="00E3204C" w:rsidRPr="00C85D48" w:rsidRDefault="00E3204C" w:rsidP="00E3204C">
      <w:pPr>
        <w:spacing w:line="600" w:lineRule="exact"/>
        <w:ind w:firstLineChars="200" w:firstLine="640"/>
        <w:rPr>
          <w:rFonts w:ascii="Times New Roman" w:eastAsia="仿宋_GB2312" w:hAnsi="Times New Roman" w:hint="eastAsia"/>
          <w:sz w:val="32"/>
          <w:szCs w:val="32"/>
        </w:rPr>
      </w:pPr>
    </w:p>
    <w:p w:rsidR="00E3204C" w:rsidRPr="00C85D48" w:rsidRDefault="00E3204C" w:rsidP="00E3204C">
      <w:pPr>
        <w:spacing w:line="600" w:lineRule="exact"/>
        <w:ind w:firstLineChars="200" w:firstLine="640"/>
        <w:rPr>
          <w:rFonts w:ascii="Times New Roman" w:eastAsia="仿宋_GB2312" w:hAnsi="Times New Roman" w:hint="eastAsia"/>
          <w:sz w:val="32"/>
          <w:szCs w:val="32"/>
        </w:rPr>
      </w:pPr>
      <w:r w:rsidRPr="00C85D48">
        <w:rPr>
          <w:rFonts w:ascii="Times New Roman" w:eastAsia="仿宋_GB2312" w:hAnsi="Times New Roman" w:hint="eastAsia"/>
          <w:sz w:val="32"/>
          <w:szCs w:val="32"/>
        </w:rPr>
        <w:t>为建设一批“办学定位准确、专业</w:t>
      </w:r>
      <w:r>
        <w:rPr>
          <w:rFonts w:ascii="Times New Roman" w:eastAsia="仿宋_GB2312" w:hAnsi="Times New Roman" w:hint="eastAsia"/>
          <w:sz w:val="32"/>
          <w:szCs w:val="32"/>
        </w:rPr>
        <w:t>特色鲜明</w:t>
      </w:r>
      <w:r w:rsidRPr="00C85D48">
        <w:rPr>
          <w:rFonts w:ascii="Times New Roman" w:eastAsia="仿宋_GB2312" w:hAnsi="Times New Roman" w:hint="eastAsia"/>
          <w:sz w:val="32"/>
          <w:szCs w:val="32"/>
        </w:rPr>
        <w:t>、就业优势突出、社会服务能力强、综合水平领先”的卓越中等职业学校，带动全省中等职业教育发展水平整体提升，特制定《湖南省卓越中等职业学校建设基本要求（试行）》。</w:t>
      </w:r>
      <w:r w:rsidRPr="00C85D48">
        <w:rPr>
          <w:rFonts w:ascii="Times New Roman" w:eastAsia="仿宋_GB2312" w:hAnsi="Times New Roman" w:hint="eastAsia"/>
          <w:sz w:val="32"/>
          <w:szCs w:val="32"/>
        </w:rPr>
        <w:t xml:space="preserve"> </w:t>
      </w:r>
    </w:p>
    <w:p w:rsidR="00E3204C" w:rsidRPr="00C85D48" w:rsidRDefault="00E3204C" w:rsidP="00E3204C">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一、办学定位</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指导思想。</w:t>
      </w:r>
      <w:r w:rsidRPr="00C85D48">
        <w:rPr>
          <w:rFonts w:ascii="Times New Roman" w:eastAsia="仿宋_GB2312" w:hAnsi="Times New Roman" w:hint="eastAsia"/>
          <w:sz w:val="32"/>
          <w:szCs w:val="32"/>
        </w:rPr>
        <w:t>全面贯彻党的教育方针，以立德树人为根本</w:t>
      </w:r>
      <w:r w:rsidRPr="00C85D48">
        <w:rPr>
          <w:rFonts w:ascii="Times New Roman" w:eastAsia="仿宋_GB2312" w:hAnsi="Times New Roman" w:hint="eastAsia"/>
          <w:sz w:val="32"/>
          <w:szCs w:val="32"/>
        </w:rPr>
        <w:t>,</w:t>
      </w:r>
      <w:r w:rsidRPr="00C85D48">
        <w:rPr>
          <w:rFonts w:ascii="Times New Roman" w:eastAsia="仿宋_GB2312" w:hAnsi="Times New Roman" w:hint="eastAsia"/>
          <w:sz w:val="32"/>
          <w:szCs w:val="32"/>
        </w:rPr>
        <w:t>以服务发展为宗旨，以促进就业为导向，主动适应经济发展新常态，努力为区域经济社会发展和学生全面可持续发展服务。</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人才培养定位。</w:t>
      </w:r>
      <w:r w:rsidRPr="00C85D48">
        <w:rPr>
          <w:rFonts w:ascii="Times New Roman" w:eastAsia="仿宋_GB2312" w:hAnsi="Times New Roman" w:hint="eastAsia"/>
          <w:sz w:val="32"/>
          <w:szCs w:val="32"/>
        </w:rPr>
        <w:t>面向区域优势、特色产业和战略性新兴产业，按照培养学生社会责任感、创新精神和实践能力的总体要求，遵循现代职业教育发展规律，培养适应相关技术技能岗位要求、具有可持续发展能力的高素质技术技能人才。</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发展思路。</w:t>
      </w:r>
      <w:r w:rsidRPr="00C85D48">
        <w:rPr>
          <w:rFonts w:ascii="Times New Roman" w:eastAsia="仿宋_GB2312" w:hAnsi="Times New Roman" w:hint="eastAsia"/>
          <w:sz w:val="32"/>
          <w:szCs w:val="32"/>
        </w:rPr>
        <w:t>坚持走内涵发展、特色发展和创新驱动发展，紧跟产业转型升级前沿趋势和现代职业教育体系建设要求，科学制定学校中长期发展规划，并有效实施。领导班子办学理念先进，具有创新意识、战略思维能力和资源整合能力，推动学校可持续发展。</w:t>
      </w:r>
    </w:p>
    <w:p w:rsidR="00E3204C" w:rsidRPr="00C85D48" w:rsidRDefault="00E3204C" w:rsidP="00E3204C">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lastRenderedPageBreak/>
        <w:t>二、基本办学条件</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校园校舍。</w:t>
      </w:r>
      <w:r w:rsidRPr="00C85D48">
        <w:rPr>
          <w:rFonts w:ascii="Times New Roman" w:eastAsia="仿宋_GB2312" w:hAnsi="Times New Roman" w:hint="eastAsia"/>
          <w:sz w:val="32"/>
          <w:szCs w:val="32"/>
        </w:rPr>
        <w:t>结合区域经济发展实际和产业发展趋势，适应社区居民终身学习需求，科学规划校园校舍建设，高起点、高标准建设现代化的校园校舍。校园功能分区科学、文明整洁，绿化美化符合“两型”要求；教学、实习实训、体育运动、生活、文化设施配套，并与办学规模相适应。</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实习实训条件。</w:t>
      </w:r>
      <w:r w:rsidRPr="00C85D48">
        <w:rPr>
          <w:rFonts w:ascii="Times New Roman" w:eastAsia="仿宋_GB2312" w:hAnsi="Times New Roman" w:hint="eastAsia"/>
          <w:sz w:val="32"/>
          <w:szCs w:val="32"/>
        </w:rPr>
        <w:t>适应专业发展和技术进步需求，建成安全环保、与专业体系相配套的实习实训条件。每个专业都有与实践教学体系相配套的实习实训室，布局科学，功能分区合理，设备数量足够，技术水平达到企业生产现场水平。重点建设的特色专业群建成集技术应用与服务、产品开发、实训等功能于一体的生产性实训基地。</w:t>
      </w:r>
    </w:p>
    <w:p w:rsidR="00E3204C" w:rsidRPr="00C85D48" w:rsidRDefault="00E3204C" w:rsidP="00E3204C">
      <w:pPr>
        <w:spacing w:line="600" w:lineRule="exact"/>
        <w:ind w:firstLineChars="200" w:firstLine="643"/>
        <w:rPr>
          <w:rFonts w:ascii="Times New Roman" w:eastAsia="黑体" w:hAnsi="Times New Roman" w:cs="黑体" w:hint="eastAsia"/>
          <w:b/>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智慧校园。</w:t>
      </w:r>
      <w:r w:rsidRPr="00C85D48">
        <w:rPr>
          <w:rFonts w:ascii="Times New Roman" w:eastAsia="仿宋_GB2312" w:hAnsi="Times New Roman" w:hint="eastAsia"/>
          <w:sz w:val="32"/>
          <w:szCs w:val="32"/>
        </w:rPr>
        <w:t>建成以物联网为基础、应用为导向，体现现代信息技术发展趋势，集教育教学、科研、管理和社会服务等功能于一体的智慧校园。信息化基础设施、应用系统、数字资源满足本校师生、社区居民泛在学习和融合创新需要，并向合作院校、合作企业、社区开放，实现教育流程再造和智能化管理。</w:t>
      </w:r>
    </w:p>
    <w:p w:rsidR="00E3204C" w:rsidRPr="00C85D48" w:rsidRDefault="00E3204C" w:rsidP="00E3204C">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三、专业建设</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专业建设机制。</w:t>
      </w:r>
      <w:r w:rsidRPr="00C85D48">
        <w:rPr>
          <w:rFonts w:ascii="Times New Roman" w:eastAsia="仿宋_GB2312" w:hAnsi="Times New Roman" w:hint="eastAsia"/>
          <w:sz w:val="32"/>
          <w:szCs w:val="32"/>
        </w:rPr>
        <w:t>根据区域经济发展“转方式、调结构、促升级”的要求，紧紧围绕特色专业群建设，完善专业结构动态调整机制，调整优化专业布局，形成对接产业、服务产业、</w:t>
      </w:r>
      <w:r w:rsidRPr="00C85D48">
        <w:rPr>
          <w:rFonts w:ascii="Times New Roman" w:eastAsia="仿宋_GB2312" w:hAnsi="Times New Roman" w:hint="eastAsia"/>
          <w:sz w:val="32"/>
          <w:szCs w:val="32"/>
        </w:rPr>
        <w:lastRenderedPageBreak/>
        <w:t>以专业群为核心的特色专业体系。主动适应经济提质增效和技术进步要求，建立健全专业教学持续改进机制，及时调整人才培养规格和专业教学内容。</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专业群建设。</w:t>
      </w:r>
      <w:r w:rsidRPr="00C85D48">
        <w:rPr>
          <w:rFonts w:ascii="Times New Roman" w:eastAsia="仿宋_GB2312" w:hAnsi="Times New Roman" w:hint="eastAsia"/>
          <w:sz w:val="32"/>
          <w:szCs w:val="32"/>
        </w:rPr>
        <w:t>按照“专业基础相通、技术领域相近、职业岗位相关、教学资源共享”的原则，构建与区域产业发展高度契合的专业群，每个专业群由</w:t>
      </w:r>
      <w:r w:rsidRPr="00C85D48">
        <w:rPr>
          <w:rFonts w:ascii="Times New Roman" w:eastAsia="仿宋_GB2312" w:hAnsi="Times New Roman" w:hint="eastAsia"/>
          <w:sz w:val="32"/>
          <w:szCs w:val="32"/>
        </w:rPr>
        <w:t>3</w:t>
      </w:r>
      <w:r w:rsidRPr="00C85D48">
        <w:rPr>
          <w:rFonts w:ascii="Times New Roman" w:eastAsia="仿宋_GB2312" w:hAnsi="Times New Roman" w:hint="eastAsia"/>
          <w:sz w:val="32"/>
          <w:szCs w:val="32"/>
        </w:rPr>
        <w:t>个左右专业组成，重点建设</w:t>
      </w:r>
      <w:r w:rsidRPr="00C85D48">
        <w:rPr>
          <w:rFonts w:ascii="Times New Roman" w:eastAsia="仿宋_GB2312" w:hAnsi="Times New Roman" w:hint="eastAsia"/>
          <w:sz w:val="32"/>
          <w:szCs w:val="32"/>
        </w:rPr>
        <w:t>1</w:t>
      </w:r>
      <w:r w:rsidRPr="00C85D48">
        <w:rPr>
          <w:rFonts w:ascii="Times New Roman" w:eastAsia="仿宋_GB2312" w:hAnsi="Times New Roman" w:hint="eastAsia"/>
          <w:sz w:val="32"/>
          <w:szCs w:val="32"/>
        </w:rPr>
        <w:t>－</w:t>
      </w:r>
      <w:r w:rsidRPr="00C85D48">
        <w:rPr>
          <w:rFonts w:ascii="Times New Roman" w:eastAsia="仿宋_GB2312" w:hAnsi="Times New Roman" w:hint="eastAsia"/>
          <w:sz w:val="32"/>
          <w:szCs w:val="32"/>
        </w:rPr>
        <w:t>2</w:t>
      </w:r>
      <w:r w:rsidRPr="00C85D48">
        <w:rPr>
          <w:rFonts w:ascii="Times New Roman" w:eastAsia="仿宋_GB2312" w:hAnsi="Times New Roman" w:hint="eastAsia"/>
          <w:sz w:val="32"/>
          <w:szCs w:val="32"/>
        </w:rPr>
        <w:t>个专业群，系统推进人才培养模式改革，形成校企深度融合的育人机制，构建群内专业充分共享、各具特色的一体化课程体系。系统推进教师队伍建设，形成“名师引领、骨干支撑、师德高尚、业务精湛”的教学团队。重点建设专业群核心专业达到同类院校全国领先水平，其他专业达到同类院校省内领先水平，形成</w:t>
      </w:r>
      <w:r w:rsidRPr="00C85D48">
        <w:rPr>
          <w:rFonts w:ascii="Times New Roman" w:eastAsia="仿宋_GB2312" w:hAnsi="Times New Roman" w:hint="eastAsia"/>
          <w:sz w:val="32"/>
          <w:szCs w:val="32"/>
        </w:rPr>
        <w:t>3</w:t>
      </w:r>
      <w:r w:rsidRPr="00C85D48">
        <w:rPr>
          <w:rFonts w:ascii="Times New Roman" w:eastAsia="仿宋_GB2312" w:hAnsi="Times New Roman" w:hint="eastAsia"/>
          <w:sz w:val="32"/>
          <w:szCs w:val="32"/>
        </w:rPr>
        <w:t>门以上群内充分共享的专业核心课程及配套的网络课程，重点建设专业群专业数达到全校开设专业数的</w:t>
      </w:r>
      <w:r w:rsidRPr="00C85D48">
        <w:rPr>
          <w:rFonts w:ascii="Times New Roman" w:eastAsia="仿宋_GB2312" w:hAnsi="Times New Roman" w:hint="eastAsia"/>
          <w:sz w:val="32"/>
          <w:szCs w:val="32"/>
        </w:rPr>
        <w:t>50%</w:t>
      </w:r>
      <w:r w:rsidRPr="00C85D48">
        <w:rPr>
          <w:rFonts w:ascii="Times New Roman" w:eastAsia="仿宋_GB2312" w:hAnsi="Times New Roman" w:hint="eastAsia"/>
          <w:sz w:val="32"/>
          <w:szCs w:val="32"/>
        </w:rPr>
        <w:t>以上，在校学生数达到办学规模的</w:t>
      </w:r>
      <w:r w:rsidRPr="00C85D48">
        <w:rPr>
          <w:rFonts w:ascii="Times New Roman" w:eastAsia="仿宋_GB2312" w:hAnsi="Times New Roman" w:hint="eastAsia"/>
          <w:sz w:val="32"/>
          <w:szCs w:val="32"/>
        </w:rPr>
        <w:t>60%</w:t>
      </w:r>
      <w:r w:rsidRPr="00C85D48">
        <w:rPr>
          <w:rFonts w:ascii="Times New Roman" w:eastAsia="仿宋_GB2312" w:hAnsi="Times New Roman" w:hint="eastAsia"/>
          <w:sz w:val="32"/>
          <w:szCs w:val="32"/>
        </w:rPr>
        <w:t>以上。</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产教融合机制。</w:t>
      </w:r>
      <w:r w:rsidRPr="00C85D48">
        <w:rPr>
          <w:rFonts w:ascii="Times New Roman" w:eastAsia="仿宋_GB2312" w:hAnsi="Times New Roman" w:hint="eastAsia"/>
          <w:sz w:val="32"/>
          <w:szCs w:val="32"/>
        </w:rPr>
        <w:t>创新产教融合、校企合作制度和实现形式，探索校企共建专业群，探索联盟制、集团化等发展模式，形成校企互融、专业建设与产业发展同步协调的运行机制。以重点建设专业群为依托，整体推进与区域骨干企业合作，将企业资源、标准等融入人才培养全过程，实现专业建设与产业需求、课程内容与职业标准、教学过程与生产过程对接。校企共建应用技术研发机构、产品开发中心、高水平生产性实训基地和产业孵化基地，实现校企协同创新，重点建设专业群成为区</w:t>
      </w:r>
      <w:r w:rsidRPr="00C85D48">
        <w:rPr>
          <w:rFonts w:ascii="Times New Roman" w:eastAsia="仿宋_GB2312" w:hAnsi="Times New Roman" w:hint="eastAsia"/>
          <w:sz w:val="32"/>
          <w:szCs w:val="32"/>
        </w:rPr>
        <w:lastRenderedPageBreak/>
        <w:t>域相关产业高素质技术技能人才培养培训中心、重要的技术技能积累基地。</w:t>
      </w:r>
    </w:p>
    <w:p w:rsidR="00E3204C" w:rsidRPr="00C85D48" w:rsidRDefault="00E3204C" w:rsidP="00E3204C">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四、教师队伍</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教师管理机制。</w:t>
      </w:r>
      <w:r w:rsidRPr="00C85D48">
        <w:rPr>
          <w:rFonts w:ascii="Times New Roman" w:eastAsia="仿宋_GB2312" w:hAnsi="Times New Roman" w:hint="eastAsia"/>
          <w:sz w:val="32"/>
          <w:szCs w:val="32"/>
        </w:rPr>
        <w:t>按照“编制到校、经费包干、自主聘用、动态管理”的总体要求，建立健全吸引人才、稳定人才、合理流动的制度和工作绩效考核办法，将师德表现、教学水平、应用技术研发推广成果与社会服务成效作为重要内容。制定并执行体现自身发展水平的“双师型”教师标准、专业带头人选拔标准、骨干教师遴选标准、专业教学团队建设办法、新进教师准入实施办法；制定兼职教师聘任与考核管理办法。建立健全教师成长激励机制，鼓励教师专业成长和共同成长，定期表彰有突出贡献的优秀教师和教学团队。</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教师整体素质。</w:t>
      </w:r>
      <w:r w:rsidRPr="00C85D48">
        <w:rPr>
          <w:rFonts w:ascii="Times New Roman" w:eastAsia="仿宋_GB2312" w:hAnsi="Times New Roman" w:hint="eastAsia"/>
          <w:sz w:val="32"/>
          <w:szCs w:val="32"/>
        </w:rPr>
        <w:t>制定教师素质提升计划，设立不少于学校收入</w:t>
      </w:r>
      <w:r w:rsidRPr="00C85D48">
        <w:rPr>
          <w:rFonts w:ascii="Times New Roman" w:eastAsia="仿宋_GB2312" w:hAnsi="Times New Roman" w:hint="eastAsia"/>
          <w:sz w:val="32"/>
          <w:szCs w:val="32"/>
        </w:rPr>
        <w:t>5%</w:t>
      </w:r>
      <w:r w:rsidRPr="00C85D48">
        <w:rPr>
          <w:rFonts w:ascii="Times New Roman" w:eastAsia="仿宋_GB2312" w:hAnsi="Times New Roman" w:hint="eastAsia"/>
          <w:sz w:val="32"/>
          <w:szCs w:val="32"/>
        </w:rPr>
        <w:t>的教师培训专项经费，通过培养、引进、聘请等多种方式，提升教师队伍素质。落实教师职业道德规范，引导教师树立正确的世界观、人生观和价值观，把教师职业道德作为教师考核的重要指标，形成爱岗敬业、乐于奉献的师德风尚。加强专任教师培养培训和兼职教师队伍建设，专任教师全部具有本科以上学历和中等职业学校教师资格，其中</w:t>
      </w:r>
      <w:r w:rsidRPr="00C85D48">
        <w:rPr>
          <w:rFonts w:ascii="Times New Roman" w:eastAsia="仿宋_GB2312" w:hAnsi="Times New Roman" w:hint="eastAsia"/>
          <w:sz w:val="32"/>
          <w:szCs w:val="32"/>
        </w:rPr>
        <w:t>45</w:t>
      </w:r>
      <w:r w:rsidRPr="00C85D48">
        <w:rPr>
          <w:rFonts w:ascii="Times New Roman" w:eastAsia="仿宋_GB2312" w:hAnsi="Times New Roman" w:hint="eastAsia"/>
          <w:sz w:val="32"/>
          <w:szCs w:val="32"/>
        </w:rPr>
        <w:t>岁以下教师具有研究生学历或硕士以上学位的比例达到</w:t>
      </w:r>
      <w:r w:rsidRPr="00C85D48">
        <w:rPr>
          <w:rFonts w:ascii="Times New Roman" w:eastAsia="仿宋_GB2312" w:hAnsi="Times New Roman" w:hint="eastAsia"/>
          <w:sz w:val="32"/>
          <w:szCs w:val="32"/>
        </w:rPr>
        <w:t>10%</w:t>
      </w:r>
      <w:r w:rsidRPr="00C85D48">
        <w:rPr>
          <w:rFonts w:ascii="Times New Roman" w:eastAsia="仿宋_GB2312" w:hAnsi="Times New Roman" w:hint="eastAsia"/>
          <w:sz w:val="32"/>
          <w:szCs w:val="32"/>
        </w:rPr>
        <w:t>以上。“双师型”教师占专任专业课教师的比例达到</w:t>
      </w:r>
      <w:r w:rsidRPr="00C85D48">
        <w:rPr>
          <w:rFonts w:ascii="Times New Roman" w:eastAsia="仿宋_GB2312" w:hAnsi="Times New Roman" w:hint="eastAsia"/>
          <w:sz w:val="32"/>
          <w:szCs w:val="32"/>
        </w:rPr>
        <w:t>90%</w:t>
      </w:r>
      <w:r w:rsidRPr="00C85D48">
        <w:rPr>
          <w:rFonts w:ascii="Times New Roman" w:eastAsia="仿宋_GB2312" w:hAnsi="Times New Roman" w:hint="eastAsia"/>
          <w:sz w:val="32"/>
          <w:szCs w:val="32"/>
        </w:rPr>
        <w:t>以上。兼职教师占专业课的比例为</w:t>
      </w:r>
      <w:r w:rsidRPr="00C85D48">
        <w:rPr>
          <w:rFonts w:ascii="Times New Roman" w:eastAsia="仿宋_GB2312" w:hAnsi="Times New Roman" w:hint="eastAsia"/>
          <w:sz w:val="32"/>
          <w:szCs w:val="32"/>
        </w:rPr>
        <w:t>15</w:t>
      </w:r>
      <w:r>
        <w:rPr>
          <w:rFonts w:ascii="Times New Roman" w:eastAsia="仿宋_GB2312" w:hAnsi="Times New Roman" w:hint="eastAsia"/>
          <w:sz w:val="32"/>
          <w:szCs w:val="32"/>
        </w:rPr>
        <w:t>－</w:t>
      </w:r>
      <w:r w:rsidRPr="00C85D48">
        <w:rPr>
          <w:rFonts w:ascii="Times New Roman" w:eastAsia="仿宋_GB2312" w:hAnsi="Times New Roman" w:hint="eastAsia"/>
          <w:sz w:val="32"/>
          <w:szCs w:val="32"/>
        </w:rPr>
        <w:t>30%</w:t>
      </w:r>
      <w:r w:rsidRPr="00C85D48">
        <w:rPr>
          <w:rFonts w:ascii="Times New Roman" w:eastAsia="仿宋_GB2312" w:hAnsi="Times New Roman" w:hint="eastAsia"/>
          <w:sz w:val="32"/>
          <w:szCs w:val="32"/>
        </w:rPr>
        <w:t>，实习指导教师和兼职专业教师全</w:t>
      </w:r>
      <w:r w:rsidRPr="00C85D48">
        <w:rPr>
          <w:rFonts w:ascii="Times New Roman" w:eastAsia="仿宋_GB2312" w:hAnsi="Times New Roman" w:hint="eastAsia"/>
          <w:sz w:val="32"/>
          <w:szCs w:val="32"/>
        </w:rPr>
        <w:lastRenderedPageBreak/>
        <w:t>部具备高级职业资格或中级专业技术职务。</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专业教学团队建设。</w:t>
      </w:r>
      <w:r w:rsidRPr="00C85D48">
        <w:rPr>
          <w:rFonts w:ascii="Times New Roman" w:eastAsia="仿宋_GB2312" w:hAnsi="Times New Roman" w:hint="eastAsia"/>
          <w:sz w:val="32"/>
          <w:szCs w:val="32"/>
        </w:rPr>
        <w:t>以重点建设专业群为核心，整体推进专业教学团队建设，建立“名师工作室”和“大师工作室”，加强专业带头人和骨干教师培养培训，创新专业教学团队运行机制，形成教育教学、技术攻关和科研的协同创新机制，营造在教研教改过程中集体攻坚克难的良好氛围。重点建设专业群至少有</w:t>
      </w:r>
      <w:r w:rsidRPr="00C85D48">
        <w:rPr>
          <w:rFonts w:ascii="Times New Roman" w:eastAsia="仿宋_GB2312" w:hAnsi="Times New Roman" w:hint="eastAsia"/>
          <w:sz w:val="32"/>
          <w:szCs w:val="32"/>
        </w:rPr>
        <w:t>1</w:t>
      </w:r>
      <w:r w:rsidRPr="00C85D48">
        <w:rPr>
          <w:rFonts w:ascii="Times New Roman" w:eastAsia="仿宋_GB2312" w:hAnsi="Times New Roman" w:hint="eastAsia"/>
          <w:sz w:val="32"/>
          <w:szCs w:val="32"/>
        </w:rPr>
        <w:t>个以上“名师工作室”或“大师工作室”，</w:t>
      </w:r>
      <w:r w:rsidRPr="00C85D48">
        <w:rPr>
          <w:rFonts w:ascii="Times New Roman" w:eastAsia="仿宋_GB2312" w:hAnsi="Times New Roman" w:hint="eastAsia"/>
          <w:sz w:val="32"/>
          <w:szCs w:val="32"/>
        </w:rPr>
        <w:t>3</w:t>
      </w:r>
      <w:r w:rsidRPr="00C85D48">
        <w:rPr>
          <w:rFonts w:ascii="Times New Roman" w:eastAsia="仿宋_GB2312" w:hAnsi="Times New Roman" w:hint="eastAsia"/>
          <w:sz w:val="32"/>
          <w:szCs w:val="32"/>
        </w:rPr>
        <w:t>名以上具备高级专业技术职务、双师素质的专业带头人，具有中级以上专业技术职务、双师素质的骨干教师达</w:t>
      </w:r>
      <w:r w:rsidRPr="00C85D48">
        <w:rPr>
          <w:rFonts w:ascii="Times New Roman" w:eastAsia="仿宋_GB2312" w:hAnsi="Times New Roman" w:hint="eastAsia"/>
          <w:sz w:val="32"/>
          <w:szCs w:val="32"/>
        </w:rPr>
        <w:t>50%</w:t>
      </w:r>
      <w:r w:rsidRPr="00C85D48">
        <w:rPr>
          <w:rFonts w:ascii="Times New Roman" w:eastAsia="仿宋_GB2312" w:hAnsi="Times New Roman" w:hint="eastAsia"/>
          <w:sz w:val="32"/>
          <w:szCs w:val="32"/>
        </w:rPr>
        <w:t>以上。重点建设专业群带头人全省知名，并取得本专业教育教学或应用技术研究省级成果，群内各专业带头人本市州知名，并取得本专业教育教学或应用技术研究市州级成果。其他专业群有</w:t>
      </w:r>
      <w:r w:rsidRPr="00C85D48">
        <w:rPr>
          <w:rFonts w:ascii="Times New Roman" w:eastAsia="仿宋_GB2312" w:hAnsi="Times New Roman" w:hint="eastAsia"/>
          <w:sz w:val="32"/>
          <w:szCs w:val="32"/>
        </w:rPr>
        <w:t>2</w:t>
      </w:r>
      <w:r w:rsidRPr="00C85D48">
        <w:rPr>
          <w:rFonts w:ascii="Times New Roman" w:eastAsia="仿宋_GB2312" w:hAnsi="Times New Roman" w:hint="eastAsia"/>
          <w:sz w:val="32"/>
          <w:szCs w:val="32"/>
        </w:rPr>
        <w:t>名以上具备高级专业技术职务、双师素质的专业带头人，具有中级以上专业技术职务、双师素质的骨干教师达</w:t>
      </w:r>
      <w:r w:rsidRPr="00C85D48">
        <w:rPr>
          <w:rFonts w:ascii="Times New Roman" w:eastAsia="仿宋_GB2312" w:hAnsi="Times New Roman" w:hint="eastAsia"/>
          <w:sz w:val="32"/>
          <w:szCs w:val="32"/>
        </w:rPr>
        <w:t>40%</w:t>
      </w:r>
      <w:r w:rsidRPr="00C85D48">
        <w:rPr>
          <w:rFonts w:ascii="Times New Roman" w:eastAsia="仿宋_GB2312" w:hAnsi="Times New Roman" w:hint="eastAsia"/>
          <w:sz w:val="32"/>
          <w:szCs w:val="32"/>
        </w:rPr>
        <w:t>以上。</w:t>
      </w:r>
    </w:p>
    <w:p w:rsidR="00E3204C" w:rsidRPr="00C85D48" w:rsidRDefault="00E3204C" w:rsidP="00E3204C">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五、教育教学</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德育。</w:t>
      </w:r>
      <w:r w:rsidRPr="00C85D48">
        <w:rPr>
          <w:rFonts w:ascii="Times New Roman" w:eastAsia="仿宋_GB2312" w:hAnsi="Times New Roman" w:hint="eastAsia"/>
          <w:sz w:val="32"/>
          <w:szCs w:val="32"/>
        </w:rPr>
        <w:t>认真贯彻落实德育工作有关文件，强化德育首要地位，形成全员、全程、全方位育人的德育体系。加强中国梦、中国特色社会主义核心价值观、社会公德、个人品德、职业道德教育，坚定学生理想信念，引导学生树立正确的世界观、人生观、价值观。加强德育队伍和德育实践基地建设，发挥德育课主阵地作用，开展爱学习、爱劳动、爱祖国等丰富多彩的德育活动，增强德育工作的针对性和实效性。加强校园文化建设，</w:t>
      </w:r>
      <w:r w:rsidRPr="00C85D48">
        <w:rPr>
          <w:rFonts w:ascii="Times New Roman" w:eastAsia="仿宋_GB2312" w:hAnsi="Times New Roman" w:hint="eastAsia"/>
          <w:sz w:val="32"/>
          <w:szCs w:val="32"/>
        </w:rPr>
        <w:lastRenderedPageBreak/>
        <w:t>形成体现社会主义核心价值观要求的特色校园文化。</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教育教学组织与实施。</w:t>
      </w:r>
      <w:r w:rsidRPr="00C85D48">
        <w:rPr>
          <w:rFonts w:ascii="Times New Roman" w:eastAsia="仿宋_GB2312" w:hAnsi="Times New Roman" w:hint="eastAsia"/>
          <w:sz w:val="32"/>
          <w:szCs w:val="32"/>
        </w:rPr>
        <w:t>坚持以教学为中心，学校人、财、物向教学倾斜。建立健全常规教学管理和质量监控制度，教学文件和教学档案齐全，教学过程管理严格，教材征订和使用规范，教学运行正常有序。根据教育行政部门有关文件精神和学校人才培养目标，科学确定公共课、专业课和实践课课时比例，加强顶岗实习管理，在强化学生职业能力培养的同时，加强学生综合素质、人文素质和创新创业能力培养，不断提高学生就业能力。</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教育教学改革。</w:t>
      </w:r>
      <w:r w:rsidRPr="00C85D48">
        <w:rPr>
          <w:rFonts w:ascii="Times New Roman" w:eastAsia="仿宋_GB2312" w:hAnsi="Times New Roman" w:hint="eastAsia"/>
          <w:sz w:val="32"/>
          <w:szCs w:val="32"/>
        </w:rPr>
        <w:t>建立健全常规教学管理制度，根据现代职业教育发展要求和产业转型升级多样化技术技能人才需求，不断创新人才培养模式、教学模式和学习方式，形成</w:t>
      </w:r>
      <w:r w:rsidRPr="00C85D48">
        <w:rPr>
          <w:rFonts w:ascii="Times New Roman" w:eastAsia="仿宋_GB2312" w:hAnsi="Times New Roman" w:hint="eastAsia"/>
          <w:sz w:val="32"/>
          <w:szCs w:val="32"/>
        </w:rPr>
        <w:t xml:space="preserve">  </w:t>
      </w:r>
      <w:r w:rsidRPr="00C85D48">
        <w:rPr>
          <w:rFonts w:ascii="Times New Roman" w:eastAsia="仿宋_GB2312" w:hAnsi="Times New Roman" w:hint="eastAsia"/>
          <w:sz w:val="32"/>
          <w:szCs w:val="32"/>
        </w:rPr>
        <w:t>持续推进教育教学改革的常态机制。围绕构建校企双主体的育人模式，理实一体的教学模式等热点难点问题，结合学校特点，明确教育教学改革的重点领域和主攻方向，在中高职衔接、现代学徒制、学分制、信息化教学等方面取得可供推广的实质性成果和经验。</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4.</w:t>
      </w:r>
      <w:r w:rsidRPr="00C85D48">
        <w:rPr>
          <w:rFonts w:ascii="Times New Roman" w:eastAsia="仿宋_GB2312" w:hAnsi="Times New Roman" w:hint="eastAsia"/>
          <w:b/>
          <w:sz w:val="32"/>
          <w:szCs w:val="32"/>
        </w:rPr>
        <w:t>教育教学评价。</w:t>
      </w:r>
      <w:r w:rsidRPr="00C85D48">
        <w:rPr>
          <w:rFonts w:ascii="Times New Roman" w:eastAsia="仿宋_GB2312" w:hAnsi="Times New Roman" w:hint="eastAsia"/>
          <w:sz w:val="32"/>
          <w:szCs w:val="32"/>
        </w:rPr>
        <w:t>建立健全专业、课程、毕业生就业质量等评价制度，专业技能考核、毕业生综合素质评价等制度常规化，充分吸纳行业企业专家、学生、家长参与质量评价，建立健全社会组织、社区和第三方专业机构质量评价和诊断机制，实行过程评价与结果评价相结合，形成内部闭环运行并与企业</w:t>
      </w:r>
      <w:r w:rsidRPr="00C85D48">
        <w:rPr>
          <w:rFonts w:ascii="Times New Roman" w:eastAsia="仿宋_GB2312" w:hAnsi="Times New Roman" w:hint="eastAsia"/>
          <w:sz w:val="32"/>
          <w:szCs w:val="32"/>
        </w:rPr>
        <w:lastRenderedPageBreak/>
        <w:t>需求沟通衔接的质量保障与监控体系。强化评价结果运用，建立健全质量诊断、反馈与改进机制，促进教育教学质量不断提升。注重质量评价数据分析与运用，完善质量年度报告制度，人才培养质量定期向社会公布。</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5.</w:t>
      </w:r>
      <w:r w:rsidRPr="00C85D48">
        <w:rPr>
          <w:rFonts w:ascii="Times New Roman" w:eastAsia="仿宋_GB2312" w:hAnsi="Times New Roman" w:hint="eastAsia"/>
          <w:b/>
          <w:sz w:val="32"/>
          <w:szCs w:val="32"/>
        </w:rPr>
        <w:t>教育教学研究。</w:t>
      </w:r>
      <w:r w:rsidRPr="00C85D48">
        <w:rPr>
          <w:rFonts w:ascii="Times New Roman" w:eastAsia="仿宋_GB2312" w:hAnsi="Times New Roman" w:hint="eastAsia"/>
          <w:sz w:val="32"/>
          <w:szCs w:val="32"/>
        </w:rPr>
        <w:t>建立健全教育教学研究工作机制，有专门的教育教学研究机构、满足需要的专职研究人员和专项经费，形成专兼结合、校校合作、校企合作、理论与实践结合的研究格局，一线教师参与研究的面达</w:t>
      </w:r>
      <w:r w:rsidRPr="00C85D48">
        <w:rPr>
          <w:rFonts w:ascii="Times New Roman" w:eastAsia="仿宋_GB2312" w:hAnsi="Times New Roman" w:hint="eastAsia"/>
          <w:sz w:val="32"/>
          <w:szCs w:val="32"/>
        </w:rPr>
        <w:t>100%</w:t>
      </w:r>
      <w:r w:rsidRPr="00C85D48">
        <w:rPr>
          <w:rFonts w:ascii="Times New Roman" w:eastAsia="仿宋_GB2312" w:hAnsi="Times New Roman" w:hint="eastAsia"/>
          <w:sz w:val="32"/>
          <w:szCs w:val="32"/>
        </w:rPr>
        <w:t>。围绕教育教学改革的重大理论和实践问题开展研究，建设期内，主持省级以上教育教学研究课题</w:t>
      </w:r>
      <w:r w:rsidRPr="00C85D48">
        <w:rPr>
          <w:rFonts w:ascii="Times New Roman" w:eastAsia="仿宋_GB2312" w:hAnsi="Times New Roman" w:hint="eastAsia"/>
          <w:sz w:val="32"/>
          <w:szCs w:val="32"/>
        </w:rPr>
        <w:t>5</w:t>
      </w:r>
      <w:r w:rsidRPr="00C85D48">
        <w:rPr>
          <w:rFonts w:ascii="Times New Roman" w:eastAsia="仿宋_GB2312" w:hAnsi="Times New Roman" w:hint="eastAsia"/>
          <w:sz w:val="32"/>
          <w:szCs w:val="32"/>
        </w:rPr>
        <w:t>项以上，取得有理论创新、重大应用价值并向全省推广的研究成果。</w:t>
      </w:r>
    </w:p>
    <w:p w:rsidR="00E3204C" w:rsidRPr="00C85D48" w:rsidRDefault="00E3204C" w:rsidP="00E3204C">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六、治理能力</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bCs/>
          <w:sz w:val="32"/>
          <w:szCs w:val="32"/>
        </w:rPr>
        <w:t>1.</w:t>
      </w:r>
      <w:r w:rsidRPr="00C85D48">
        <w:rPr>
          <w:rFonts w:ascii="Times New Roman" w:eastAsia="仿宋_GB2312" w:hAnsi="Times New Roman" w:hint="eastAsia"/>
          <w:b/>
          <w:bCs/>
          <w:sz w:val="32"/>
          <w:szCs w:val="32"/>
        </w:rPr>
        <w:t>治理结构。</w:t>
      </w:r>
      <w:r w:rsidRPr="00C85D48">
        <w:rPr>
          <w:rFonts w:ascii="Times New Roman" w:eastAsia="仿宋_GB2312" w:hAnsi="Times New Roman" w:hint="eastAsia"/>
          <w:sz w:val="32"/>
          <w:szCs w:val="32"/>
        </w:rPr>
        <w:t>制定体现职业教育办学特色的学校章程，落实校长负责制，建立健全自主管理、民主监督、社会参与的现代学校治理结构。探索设立有办学相关方代表参加的理事会或董事会机构，发挥咨询、协商、议事与监督作用。设立教学指导委员会，统筹行使教育教学改革决策、评定和咨询等职权。学校党、团、工会等组织健全并充分发挥作用，教职工代表大会按期召开并有效履职。</w:t>
      </w:r>
    </w:p>
    <w:p w:rsidR="00E3204C" w:rsidRPr="00C85D48" w:rsidRDefault="00E3204C" w:rsidP="00E3204C">
      <w:pPr>
        <w:spacing w:line="600" w:lineRule="exact"/>
        <w:ind w:firstLineChars="200" w:firstLine="643"/>
        <w:rPr>
          <w:rFonts w:ascii="Times New Roman" w:eastAsia="仿宋_GB2312" w:hAnsi="Times New Roman" w:hint="eastAsia"/>
          <w:bCs/>
          <w:sz w:val="32"/>
          <w:szCs w:val="32"/>
        </w:rPr>
      </w:pPr>
      <w:r w:rsidRPr="00C85D48">
        <w:rPr>
          <w:rFonts w:ascii="Times New Roman" w:eastAsia="仿宋_GB2312" w:hAnsi="Times New Roman" w:hint="eastAsia"/>
          <w:b/>
          <w:bCs/>
          <w:sz w:val="32"/>
          <w:szCs w:val="32"/>
        </w:rPr>
        <w:t>2.</w:t>
      </w:r>
      <w:r w:rsidRPr="00C85D48">
        <w:rPr>
          <w:rFonts w:ascii="Times New Roman" w:eastAsia="仿宋_GB2312" w:hAnsi="Times New Roman" w:hint="eastAsia"/>
          <w:b/>
          <w:bCs/>
          <w:sz w:val="32"/>
          <w:szCs w:val="32"/>
        </w:rPr>
        <w:t>运行机制。</w:t>
      </w:r>
      <w:r w:rsidRPr="00C85D48">
        <w:rPr>
          <w:rFonts w:ascii="Times New Roman" w:eastAsia="仿宋_GB2312" w:hAnsi="Times New Roman" w:hint="eastAsia"/>
          <w:sz w:val="32"/>
          <w:szCs w:val="32"/>
        </w:rPr>
        <w:t>坚持依法治校，</w:t>
      </w:r>
      <w:r w:rsidRPr="00C85D48">
        <w:rPr>
          <w:rFonts w:ascii="Times New Roman" w:eastAsia="仿宋_GB2312" w:hAnsi="Times New Roman" w:hint="eastAsia"/>
          <w:bCs/>
          <w:sz w:val="32"/>
          <w:szCs w:val="32"/>
        </w:rPr>
        <w:t>形成与学校章程相配套的内部管理制度体系，</w:t>
      </w:r>
      <w:r w:rsidRPr="00C85D48">
        <w:rPr>
          <w:rFonts w:ascii="Times New Roman" w:eastAsia="仿宋_GB2312" w:hAnsi="Times New Roman" w:hint="eastAsia"/>
          <w:sz w:val="32"/>
          <w:szCs w:val="32"/>
        </w:rPr>
        <w:t>建立健全决策、执行、监督三者相对分离、相互制约、相互合作的内部运行机制和执行体系，实现依法依</w:t>
      </w:r>
      <w:r w:rsidRPr="00C85D48">
        <w:rPr>
          <w:rFonts w:ascii="Times New Roman" w:eastAsia="仿宋_GB2312" w:hAnsi="Times New Roman" w:hint="eastAsia"/>
          <w:sz w:val="32"/>
          <w:szCs w:val="32"/>
        </w:rPr>
        <w:lastRenderedPageBreak/>
        <w:t>规办学和流程化管理。</w:t>
      </w:r>
      <w:r w:rsidRPr="00C85D48">
        <w:rPr>
          <w:rFonts w:ascii="Times New Roman" w:eastAsia="仿宋_GB2312" w:hAnsi="Times New Roman" w:hint="eastAsia"/>
          <w:bCs/>
          <w:sz w:val="32"/>
          <w:szCs w:val="32"/>
        </w:rPr>
        <w:t>建立健全内外部约束、激励机制和校务公开制度，用好办学自主权。建立健全教学、学生、后勤、安全管理齐抓共管机制，杜绝重大安全责任事故和违规办学事件。建立完善舆情处置和工作通报制度，完善学校突发事件应急管理机制，构建和谐校园。</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bCs/>
          <w:sz w:val="32"/>
          <w:szCs w:val="32"/>
        </w:rPr>
        <w:t>3.</w:t>
      </w:r>
      <w:r w:rsidRPr="00C85D48">
        <w:rPr>
          <w:rFonts w:ascii="Times New Roman" w:eastAsia="仿宋_GB2312" w:hAnsi="Times New Roman" w:hint="eastAsia"/>
          <w:b/>
          <w:bCs/>
          <w:sz w:val="32"/>
          <w:szCs w:val="32"/>
        </w:rPr>
        <w:t>关键领域改革。</w:t>
      </w:r>
      <w:r w:rsidRPr="00C85D48">
        <w:rPr>
          <w:rFonts w:ascii="Times New Roman" w:eastAsia="仿宋_GB2312" w:hAnsi="Times New Roman" w:hint="eastAsia"/>
          <w:sz w:val="32"/>
          <w:szCs w:val="32"/>
        </w:rPr>
        <w:t>改革人事分配制度，全面推行竞聘上岗、按岗聘用，分类管理、分类评价；建立健全教职工绩效考核制度，制定并实施以岗位职责为基础，贡献为导向，向一线教师倾斜的内部分配方案。积极探索社会力量、行业企业以资本、知识、技术、管理等要素参与办学，鼓励专业技术人才、高技能人才在学校建设股份合作制工作室。探索建立教师主动参与社会服务的激励机制。</w:t>
      </w:r>
    </w:p>
    <w:p w:rsidR="00E3204C" w:rsidRPr="00C85D48" w:rsidRDefault="00E3204C" w:rsidP="00E3204C">
      <w:pPr>
        <w:spacing w:line="600" w:lineRule="exact"/>
        <w:ind w:firstLineChars="200" w:firstLine="640"/>
        <w:rPr>
          <w:rFonts w:ascii="Times New Roman" w:eastAsia="黑体" w:hAnsi="Times New Roman" w:cs="黑体" w:hint="eastAsia"/>
          <w:sz w:val="32"/>
          <w:szCs w:val="32"/>
        </w:rPr>
      </w:pPr>
      <w:r w:rsidRPr="00C85D48">
        <w:rPr>
          <w:rFonts w:ascii="Times New Roman" w:eastAsia="黑体" w:hAnsi="Times New Roman" w:cs="黑体" w:hint="eastAsia"/>
          <w:sz w:val="32"/>
          <w:szCs w:val="32"/>
        </w:rPr>
        <w:t>七、办学效益</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1.</w:t>
      </w:r>
      <w:r w:rsidRPr="00C85D48">
        <w:rPr>
          <w:rFonts w:ascii="Times New Roman" w:eastAsia="仿宋_GB2312" w:hAnsi="Times New Roman" w:hint="eastAsia"/>
          <w:b/>
          <w:sz w:val="32"/>
          <w:szCs w:val="32"/>
        </w:rPr>
        <w:t>技术技能人才培养培训。</w:t>
      </w:r>
      <w:r w:rsidRPr="00C85D48">
        <w:rPr>
          <w:rFonts w:ascii="Times New Roman" w:eastAsia="仿宋_GB2312" w:hAnsi="Times New Roman" w:hint="eastAsia"/>
          <w:sz w:val="32"/>
          <w:szCs w:val="32"/>
        </w:rPr>
        <w:t>办学规模与学校发展规划相适应，每年向社会输送合格毕业生</w:t>
      </w:r>
      <w:r w:rsidRPr="00C85D48">
        <w:rPr>
          <w:rFonts w:ascii="Times New Roman" w:eastAsia="仿宋_GB2312" w:hAnsi="Times New Roman" w:hint="eastAsia"/>
          <w:sz w:val="32"/>
          <w:szCs w:val="32"/>
        </w:rPr>
        <w:t>1000</w:t>
      </w:r>
      <w:r w:rsidRPr="00C85D48">
        <w:rPr>
          <w:rFonts w:ascii="Times New Roman" w:eastAsia="仿宋_GB2312" w:hAnsi="Times New Roman" w:hint="eastAsia"/>
          <w:sz w:val="32"/>
          <w:szCs w:val="32"/>
        </w:rPr>
        <w:t>人以上，毕业生初次就业率、对口就业率、初次就业起薪点高于全省平均水平并在全国同类学校领先。建设期内，省级教育行政部门组织的技能抽查等质量监测达到合格要求，合格率、优秀率高于全省平均水平。参加国家、省教育行政部门组织的各项竞赛获奖总数、一等奖获奖数居于全省前列。每年面向社会开展各种职业培训人次不少于在校生规模的</w:t>
      </w:r>
      <w:r w:rsidRPr="00C85D48">
        <w:rPr>
          <w:rFonts w:ascii="Times New Roman" w:eastAsia="仿宋_GB2312" w:hAnsi="Times New Roman" w:hint="eastAsia"/>
          <w:sz w:val="32"/>
          <w:szCs w:val="32"/>
        </w:rPr>
        <w:t>2</w:t>
      </w:r>
      <w:r w:rsidRPr="00C85D48">
        <w:rPr>
          <w:rFonts w:ascii="Times New Roman" w:eastAsia="仿宋_GB2312" w:hAnsi="Times New Roman" w:hint="eastAsia"/>
          <w:sz w:val="32"/>
          <w:szCs w:val="32"/>
        </w:rPr>
        <w:t>倍。</w:t>
      </w:r>
    </w:p>
    <w:p w:rsidR="00E3204C" w:rsidRPr="00C85D48" w:rsidRDefault="00E3204C" w:rsidP="00E3204C">
      <w:pPr>
        <w:spacing w:line="600" w:lineRule="exact"/>
        <w:ind w:firstLineChars="200" w:firstLine="643"/>
        <w:rPr>
          <w:rFonts w:ascii="Times New Roman" w:eastAsia="仿宋_GB2312" w:hAnsi="Times New Roman" w:hint="eastAsia"/>
          <w:sz w:val="32"/>
          <w:szCs w:val="32"/>
        </w:rPr>
      </w:pPr>
      <w:r w:rsidRPr="00C85D48">
        <w:rPr>
          <w:rFonts w:ascii="Times New Roman" w:eastAsia="仿宋_GB2312" w:hAnsi="Times New Roman" w:hint="eastAsia"/>
          <w:b/>
          <w:sz w:val="32"/>
          <w:szCs w:val="32"/>
        </w:rPr>
        <w:t>2.</w:t>
      </w:r>
      <w:r w:rsidRPr="00C85D48">
        <w:rPr>
          <w:rFonts w:ascii="Times New Roman" w:eastAsia="仿宋_GB2312" w:hAnsi="Times New Roman" w:hint="eastAsia"/>
          <w:b/>
          <w:sz w:val="32"/>
          <w:szCs w:val="32"/>
        </w:rPr>
        <w:t>社会服务。</w:t>
      </w:r>
      <w:r w:rsidRPr="00C85D48">
        <w:rPr>
          <w:rFonts w:ascii="Times New Roman" w:eastAsia="仿宋_GB2312" w:hAnsi="Times New Roman" w:hint="eastAsia"/>
          <w:sz w:val="32"/>
          <w:szCs w:val="32"/>
        </w:rPr>
        <w:t>积极与行业企业合作开展新技术应用创新和</w:t>
      </w:r>
      <w:r w:rsidRPr="00C85D48">
        <w:rPr>
          <w:rFonts w:ascii="Times New Roman" w:eastAsia="仿宋_GB2312" w:hAnsi="Times New Roman" w:hint="eastAsia"/>
          <w:sz w:val="32"/>
          <w:szCs w:val="32"/>
        </w:rPr>
        <w:lastRenderedPageBreak/>
        <w:t>推广咨询，每年主持市（厅）级及以上科技课题或与企业合作开展技术研发、产品开发</w:t>
      </w:r>
      <w:r w:rsidRPr="00C85D48">
        <w:rPr>
          <w:rFonts w:ascii="Times New Roman" w:eastAsia="仿宋_GB2312" w:hAnsi="Times New Roman" w:hint="eastAsia"/>
          <w:sz w:val="32"/>
          <w:szCs w:val="32"/>
        </w:rPr>
        <w:t>2</w:t>
      </w:r>
      <w:r w:rsidRPr="00C85D48">
        <w:rPr>
          <w:rFonts w:ascii="Times New Roman" w:eastAsia="仿宋_GB2312" w:hAnsi="Times New Roman" w:hint="eastAsia"/>
          <w:sz w:val="32"/>
          <w:szCs w:val="32"/>
        </w:rPr>
        <w:t>项以上，应用技术课题到账经费</w:t>
      </w:r>
      <w:r w:rsidRPr="00C85D48">
        <w:rPr>
          <w:rFonts w:ascii="Times New Roman" w:eastAsia="仿宋_GB2312" w:hAnsi="Times New Roman" w:hint="eastAsia"/>
          <w:sz w:val="32"/>
          <w:szCs w:val="32"/>
        </w:rPr>
        <w:t>20</w:t>
      </w:r>
      <w:r w:rsidRPr="00C85D48">
        <w:rPr>
          <w:rFonts w:ascii="Times New Roman" w:eastAsia="仿宋_GB2312" w:hAnsi="Times New Roman" w:hint="eastAsia"/>
          <w:sz w:val="32"/>
          <w:szCs w:val="32"/>
        </w:rPr>
        <w:t>万元以上。建设期内，获得市州级及以上科技成果奖或登记专利。针对区域或行业产业发展需求，开展技术咨询服务，每年</w:t>
      </w:r>
      <w:r w:rsidRPr="00C85D48">
        <w:rPr>
          <w:rFonts w:ascii="Times New Roman" w:eastAsia="仿宋_GB2312" w:hAnsi="Times New Roman" w:cs="仿宋_GB2312" w:hint="eastAsia"/>
          <w:sz w:val="32"/>
          <w:szCs w:val="32"/>
        </w:rPr>
        <w:t>独立或合作推广新技术应用项目</w:t>
      </w:r>
      <w:r w:rsidRPr="00C85D48">
        <w:rPr>
          <w:rFonts w:ascii="Times New Roman" w:eastAsia="仿宋_GB2312" w:hAnsi="Times New Roman" w:cs="仿宋_GB2312" w:hint="eastAsia"/>
          <w:sz w:val="32"/>
          <w:szCs w:val="32"/>
        </w:rPr>
        <w:t>3</w:t>
      </w:r>
      <w:r w:rsidRPr="00C85D48">
        <w:rPr>
          <w:rFonts w:ascii="Times New Roman" w:eastAsia="仿宋_GB2312" w:hAnsi="Times New Roman" w:cs="仿宋_GB2312" w:hint="eastAsia"/>
          <w:sz w:val="32"/>
          <w:szCs w:val="32"/>
        </w:rPr>
        <w:t>项以上，为企业创造经济效益</w:t>
      </w:r>
      <w:r w:rsidRPr="00C85D48">
        <w:rPr>
          <w:rFonts w:ascii="Times New Roman" w:eastAsia="仿宋_GB2312" w:hAnsi="Times New Roman" w:cs="仿宋_GB2312" w:hint="eastAsia"/>
          <w:sz w:val="32"/>
          <w:szCs w:val="32"/>
        </w:rPr>
        <w:t>100</w:t>
      </w:r>
      <w:r w:rsidRPr="00C85D48">
        <w:rPr>
          <w:rFonts w:ascii="Times New Roman" w:eastAsia="仿宋_GB2312" w:hAnsi="Times New Roman" w:cs="仿宋_GB2312" w:hint="eastAsia"/>
          <w:sz w:val="32"/>
          <w:szCs w:val="32"/>
        </w:rPr>
        <w:t>万元以上，</w:t>
      </w:r>
      <w:r w:rsidRPr="00C85D48">
        <w:rPr>
          <w:rFonts w:ascii="Times New Roman" w:eastAsia="仿宋_GB2312" w:hAnsi="Times New Roman" w:hint="eastAsia"/>
          <w:sz w:val="32"/>
          <w:szCs w:val="32"/>
        </w:rPr>
        <w:t>技术服务收入年到账经费不低于</w:t>
      </w:r>
      <w:r w:rsidRPr="00C85D48">
        <w:rPr>
          <w:rFonts w:ascii="Times New Roman" w:eastAsia="仿宋_GB2312" w:hAnsi="Times New Roman" w:hint="eastAsia"/>
          <w:sz w:val="32"/>
          <w:szCs w:val="32"/>
        </w:rPr>
        <w:t>20</w:t>
      </w:r>
      <w:r w:rsidRPr="00C85D48">
        <w:rPr>
          <w:rFonts w:ascii="Times New Roman" w:eastAsia="仿宋_GB2312" w:hAnsi="Times New Roman" w:hint="eastAsia"/>
          <w:sz w:val="32"/>
          <w:szCs w:val="32"/>
        </w:rPr>
        <w:t>万元。</w:t>
      </w:r>
    </w:p>
    <w:p w:rsidR="00E3204C" w:rsidRPr="00C85D48" w:rsidRDefault="00E3204C" w:rsidP="00E3204C">
      <w:pPr>
        <w:spacing w:line="600" w:lineRule="exact"/>
        <w:ind w:firstLineChars="200" w:firstLine="643"/>
        <w:rPr>
          <w:rFonts w:ascii="Times New Roman" w:eastAsia="仿宋_GB2312" w:hAnsi="Times New Roman" w:hint="eastAsia"/>
          <w:bCs/>
          <w:sz w:val="32"/>
          <w:szCs w:val="32"/>
        </w:rPr>
      </w:pPr>
      <w:r w:rsidRPr="00C85D48">
        <w:rPr>
          <w:rFonts w:ascii="Times New Roman" w:eastAsia="仿宋_GB2312" w:hAnsi="Times New Roman" w:hint="eastAsia"/>
          <w:b/>
          <w:sz w:val="32"/>
          <w:szCs w:val="32"/>
        </w:rPr>
        <w:t>3.</w:t>
      </w:r>
      <w:r w:rsidRPr="00C85D48">
        <w:rPr>
          <w:rFonts w:ascii="Times New Roman" w:eastAsia="仿宋_GB2312" w:hAnsi="Times New Roman" w:hint="eastAsia"/>
          <w:b/>
          <w:sz w:val="32"/>
          <w:szCs w:val="32"/>
        </w:rPr>
        <w:t>国际合作。</w:t>
      </w:r>
      <w:r w:rsidRPr="00C85D48">
        <w:rPr>
          <w:rFonts w:ascii="Times New Roman" w:eastAsia="仿宋_GB2312" w:hAnsi="Times New Roman" w:hint="eastAsia"/>
          <w:bCs/>
          <w:sz w:val="32"/>
          <w:szCs w:val="32"/>
        </w:rPr>
        <w:t>服务企业“走出去”发展战略，培养具有国际视野、通晓国际规则的技术技能人才和中国企业海外生产经营管理需要的本土化人才。将国际先进工艺流程、产品标准、技术标准、服务标准、管理方法等引入教学内容。每年组织专任教师参与国际交流和境外培训，探索与国际机构联合开发课程。积极参与世界技能竞赛和国际职业教育交流展览等活动。</w:t>
      </w:r>
    </w:p>
    <w:p w:rsidR="00E3204C" w:rsidRPr="00C85D48" w:rsidRDefault="00E3204C" w:rsidP="00E3204C">
      <w:pPr>
        <w:adjustRightInd w:val="0"/>
        <w:snapToGrid w:val="0"/>
        <w:spacing w:line="600" w:lineRule="exact"/>
        <w:ind w:firstLineChars="196" w:firstLine="630"/>
        <w:rPr>
          <w:rFonts w:ascii="Times New Roman" w:eastAsia="仿宋_GB2312" w:hAnsi="Times New Roman" w:hint="eastAsia"/>
          <w:sz w:val="32"/>
          <w:szCs w:val="32"/>
        </w:rPr>
      </w:pPr>
      <w:r w:rsidRPr="00C85D48">
        <w:rPr>
          <w:rFonts w:ascii="Times New Roman" w:eastAsia="仿宋_GB2312" w:hAnsi="Times New Roman" w:hint="eastAsia"/>
          <w:b/>
          <w:sz w:val="32"/>
          <w:szCs w:val="32"/>
        </w:rPr>
        <w:t>4.</w:t>
      </w:r>
      <w:r w:rsidRPr="00C85D48">
        <w:rPr>
          <w:rFonts w:ascii="Times New Roman" w:eastAsia="仿宋_GB2312" w:hAnsi="Times New Roman" w:hint="eastAsia"/>
          <w:b/>
          <w:sz w:val="32"/>
          <w:szCs w:val="32"/>
        </w:rPr>
        <w:t>办学优势。</w:t>
      </w:r>
      <w:r w:rsidRPr="00C85D48">
        <w:rPr>
          <w:rFonts w:ascii="Times New Roman" w:eastAsia="仿宋_GB2312" w:hAnsi="Times New Roman" w:hint="eastAsia"/>
          <w:sz w:val="32"/>
          <w:szCs w:val="32"/>
        </w:rPr>
        <w:t>学校</w:t>
      </w:r>
      <w:r w:rsidRPr="00C85D48">
        <w:rPr>
          <w:rFonts w:ascii="Times New Roman" w:eastAsia="仿宋_GB2312" w:hAnsi="Times New Roman" w:hint="eastAsia"/>
          <w:bCs/>
          <w:sz w:val="32"/>
          <w:szCs w:val="32"/>
        </w:rPr>
        <w:t>在全国具有较高的社会声誉，在行业内有一定影响力，参与省级以上教育教学标准研发或行业标准开发，成为区域技术技能人才培养培训中心，新技术研究、推广、服务中心，教育教学指导中心。</w:t>
      </w:r>
      <w:r w:rsidRPr="00C85D48">
        <w:rPr>
          <w:rFonts w:ascii="Times New Roman" w:eastAsia="仿宋_GB2312" w:hAnsi="Times New Roman" w:hint="eastAsia"/>
          <w:sz w:val="32"/>
          <w:szCs w:val="32"/>
        </w:rPr>
        <w:t>社会认可度高，承办省级以上教学改革现场观摩，或市州级以上教师培训、技能竞赛等活动，建设成果向全省推广，至少帮带</w:t>
      </w:r>
      <w:r w:rsidRPr="00C85D48">
        <w:rPr>
          <w:rFonts w:ascii="Times New Roman" w:eastAsia="仿宋_GB2312" w:hAnsi="Times New Roman" w:hint="eastAsia"/>
          <w:sz w:val="32"/>
          <w:szCs w:val="32"/>
        </w:rPr>
        <w:t>3</w:t>
      </w:r>
      <w:r w:rsidRPr="00C85D48">
        <w:rPr>
          <w:rFonts w:ascii="Times New Roman" w:eastAsia="仿宋_GB2312" w:hAnsi="Times New Roman" w:hint="eastAsia"/>
          <w:sz w:val="32"/>
          <w:szCs w:val="32"/>
        </w:rPr>
        <w:t>所薄弱中等职业学校共同发展，市级及以上媒体正面宣传报道学校办学经验和成果。</w:t>
      </w:r>
    </w:p>
    <w:p w:rsidR="00E3204C" w:rsidRPr="00C85D48" w:rsidRDefault="00E3204C" w:rsidP="00E3204C">
      <w:pPr>
        <w:spacing w:line="600" w:lineRule="exact"/>
        <w:rPr>
          <w:rFonts w:ascii="Times New Roman" w:hAnsi="Times New Roman" w:hint="eastAsia"/>
        </w:rPr>
      </w:pPr>
    </w:p>
    <w:p w:rsidR="007C25DA" w:rsidRDefault="007C25DA">
      <w:bookmarkStart w:id="0" w:name="_GoBack"/>
      <w:bookmarkEnd w:id="0"/>
    </w:p>
    <w:sectPr w:rsidR="007C25DA" w:rsidSect="00AA32C3">
      <w:headerReference w:type="default" r:id="rId5"/>
      <w:footerReference w:type="even" r:id="rId6"/>
      <w:footerReference w:type="default" r:id="rId7"/>
      <w:pgSz w:w="11906" w:h="16838" w:code="9"/>
      <w:pgMar w:top="1440" w:right="1588" w:bottom="1440" w:left="1797" w:header="851" w:footer="1559"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11" w:rsidRDefault="00E3204C" w:rsidP="00F40078">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7D7711" w:rsidRDefault="00E3204C" w:rsidP="00B32AC2">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11" w:rsidRPr="00C85D48" w:rsidRDefault="00E3204C" w:rsidP="00F40078">
    <w:pPr>
      <w:pStyle w:val="a4"/>
      <w:framePr w:wrap="around" w:vAnchor="text" w:hAnchor="margin" w:xAlign="outside" w:y="1"/>
      <w:rPr>
        <w:rStyle w:val="a5"/>
        <w:rFonts w:ascii="Times New Roman" w:eastAsia="仿宋_GB2312" w:hAnsi="Times New Roman" w:hint="eastAsia"/>
        <w:sz w:val="24"/>
        <w:szCs w:val="24"/>
      </w:rPr>
    </w:pPr>
    <w:r w:rsidRPr="00C85D48">
      <w:rPr>
        <w:rStyle w:val="a5"/>
        <w:rFonts w:ascii="Times New Roman" w:eastAsia="仿宋_GB2312" w:hAnsi="Times New Roman" w:hint="eastAsia"/>
        <w:sz w:val="24"/>
        <w:szCs w:val="24"/>
      </w:rPr>
      <w:fldChar w:fldCharType="begin"/>
    </w:r>
    <w:r w:rsidRPr="00C85D48">
      <w:rPr>
        <w:rStyle w:val="a5"/>
        <w:rFonts w:ascii="Times New Roman" w:eastAsia="仿宋_GB2312" w:hAnsi="Times New Roman" w:hint="eastAsia"/>
        <w:sz w:val="24"/>
        <w:szCs w:val="24"/>
      </w:rPr>
      <w:instrText xml:space="preserve">PAGE  </w:instrText>
    </w:r>
    <w:r w:rsidRPr="00C85D48">
      <w:rPr>
        <w:rStyle w:val="a5"/>
        <w:rFonts w:ascii="Times New Roman" w:eastAsia="仿宋_GB2312" w:hAnsi="Times New Roman" w:hint="eastAsia"/>
        <w:sz w:val="24"/>
        <w:szCs w:val="24"/>
      </w:rPr>
      <w:fldChar w:fldCharType="separate"/>
    </w:r>
    <w:r>
      <w:rPr>
        <w:rStyle w:val="a5"/>
        <w:rFonts w:ascii="Times New Roman" w:eastAsia="仿宋_GB2312" w:hAnsi="Times New Roman"/>
        <w:noProof/>
        <w:sz w:val="24"/>
        <w:szCs w:val="24"/>
      </w:rPr>
      <w:t>- 9 -</w:t>
    </w:r>
    <w:r w:rsidRPr="00C85D48">
      <w:rPr>
        <w:rStyle w:val="a5"/>
        <w:rFonts w:ascii="Times New Roman" w:eastAsia="仿宋_GB2312" w:hAnsi="Times New Roman" w:hint="eastAsia"/>
        <w:sz w:val="24"/>
        <w:szCs w:val="24"/>
      </w:rPr>
      <w:fldChar w:fldCharType="end"/>
    </w:r>
  </w:p>
  <w:p w:rsidR="007D7711" w:rsidRDefault="00E3204C" w:rsidP="00B32AC2">
    <w:pPr>
      <w:pStyle w:val="a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711" w:rsidRDefault="00E3204C" w:rsidP="00B6517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04C"/>
    <w:rsid w:val="007C25DA"/>
    <w:rsid w:val="00E32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04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20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204C"/>
    <w:rPr>
      <w:rFonts w:ascii="Calibri" w:eastAsia="宋体" w:hAnsi="Calibri" w:cs="Times New Roman"/>
      <w:sz w:val="18"/>
      <w:szCs w:val="18"/>
    </w:rPr>
  </w:style>
  <w:style w:type="paragraph" w:styleId="a4">
    <w:name w:val="footer"/>
    <w:basedOn w:val="a"/>
    <w:link w:val="Char0"/>
    <w:uiPriority w:val="99"/>
    <w:unhideWhenUsed/>
    <w:rsid w:val="00E3204C"/>
    <w:pPr>
      <w:tabs>
        <w:tab w:val="center" w:pos="4153"/>
        <w:tab w:val="right" w:pos="8306"/>
      </w:tabs>
      <w:snapToGrid w:val="0"/>
      <w:jc w:val="left"/>
    </w:pPr>
    <w:rPr>
      <w:sz w:val="18"/>
      <w:szCs w:val="18"/>
    </w:rPr>
  </w:style>
  <w:style w:type="character" w:customStyle="1" w:styleId="Char0">
    <w:name w:val="页脚 Char"/>
    <w:basedOn w:val="a0"/>
    <w:link w:val="a4"/>
    <w:uiPriority w:val="99"/>
    <w:rsid w:val="00E3204C"/>
    <w:rPr>
      <w:rFonts w:ascii="Calibri" w:eastAsia="宋体" w:hAnsi="Calibri" w:cs="Times New Roman"/>
      <w:sz w:val="18"/>
      <w:szCs w:val="18"/>
    </w:rPr>
  </w:style>
  <w:style w:type="character" w:styleId="a5">
    <w:name w:val="page number"/>
    <w:basedOn w:val="a0"/>
    <w:rsid w:val="00E320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04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20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204C"/>
    <w:rPr>
      <w:rFonts w:ascii="Calibri" w:eastAsia="宋体" w:hAnsi="Calibri" w:cs="Times New Roman"/>
      <w:sz w:val="18"/>
      <w:szCs w:val="18"/>
    </w:rPr>
  </w:style>
  <w:style w:type="paragraph" w:styleId="a4">
    <w:name w:val="footer"/>
    <w:basedOn w:val="a"/>
    <w:link w:val="Char0"/>
    <w:uiPriority w:val="99"/>
    <w:unhideWhenUsed/>
    <w:rsid w:val="00E3204C"/>
    <w:pPr>
      <w:tabs>
        <w:tab w:val="center" w:pos="4153"/>
        <w:tab w:val="right" w:pos="8306"/>
      </w:tabs>
      <w:snapToGrid w:val="0"/>
      <w:jc w:val="left"/>
    </w:pPr>
    <w:rPr>
      <w:sz w:val="18"/>
      <w:szCs w:val="18"/>
    </w:rPr>
  </w:style>
  <w:style w:type="character" w:customStyle="1" w:styleId="Char0">
    <w:name w:val="页脚 Char"/>
    <w:basedOn w:val="a0"/>
    <w:link w:val="a4"/>
    <w:uiPriority w:val="99"/>
    <w:rsid w:val="00E3204C"/>
    <w:rPr>
      <w:rFonts w:ascii="Calibri" w:eastAsia="宋体" w:hAnsi="Calibri" w:cs="Times New Roman"/>
      <w:sz w:val="18"/>
      <w:szCs w:val="18"/>
    </w:rPr>
  </w:style>
  <w:style w:type="character" w:styleId="a5">
    <w:name w:val="page number"/>
    <w:basedOn w:val="a0"/>
    <w:rsid w:val="00E32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710</Words>
  <Characters>4053</Characters>
  <Application>Microsoft Office Word</Application>
  <DocSecurity>0</DocSecurity>
  <Lines>33</Lines>
  <Paragraphs>9</Paragraphs>
  <ScaleCrop>false</ScaleCrop>
  <Company>Sky123.Org</Company>
  <LinksUpToDate>false</LinksUpToDate>
  <CharactersWithSpaces>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2015-04-30T12:26:00Z</dcterms:created>
  <dcterms:modified xsi:type="dcterms:W3CDTF">2015-04-30T12:26:00Z</dcterms:modified>
</cp:coreProperties>
</file>